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daa15bfeb9483d" /></Relationships>
</file>

<file path=word/document.xml><?xml version="1.0" encoding="utf-8"?>
<w:document xmlns:w="http://schemas.openxmlformats.org/wordprocessingml/2006/main">
  <w:body>
    <w:p>
      <w:r>
        <w:rPr>
          <w:sz w:val="30"/>
          <w:b/>
        </w:rPr>
        <w:t xml:space="preserve">Short Term Consultant to support The Urban, DRM and Resilience Program in Free Town, Sierra Leone. </w:t>
      </w:r>
      <w:r>
        <w:t xml:space="preserve"> - </w:t>
      </w:r>
      <w:r>
        <w:rPr>
          <w:color w:val="008000"/>
          <w:sz w:val="22"/>
          <w:b/>
        </w:rPr>
        <w:t xml:space="preserve">Open</w:t>
      </w:r>
      <w:r>
        <w:br/>
      </w:r>
      <w:r>
        <w:t xml:space="preserve">Posted on: Aug 20, 2019</w:t>
      </w:r>
      <w:r>
        <w:t xml:space="preserve"> | </w:t>
      </w:r>
      <w:r>
        <w:rPr>
          <w:b/>
        </w:rPr>
        <w:t xml:space="preserve">150</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Oct 01,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Sep 12, 2019</w:t>
            </w:r>
          </w:p>
        </w:tc>
        <w:tc>
          <w:tcPr>
            <w:tcMar>
              <w:left w:w="750" w:type="dxa"/>
            </w:tcMar>
          </w:tcPr>
          <w:p>
            <w:r>
              <w:t xml:space="preserve">ST Grade:</w:t>
            </w:r>
          </w:p>
        </w:tc>
        <w:tc>
          <w:tcPr>
            <w:tcMar>
              <w:left w:w="450" w:type="dxa"/>
            </w:tcMar>
            <w:b/>
          </w:tcPr>
          <w:p>
            <w:r>
              <w:rPr>
                <w:b/>
              </w:rPr>
              <w:t xml:space="preserve">STC2</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Disaster Risk Management;Urban Development</w:t>
            </w:r>
          </w:p>
        </w:tc>
      </w:tr>
      <w:tr>
        <w:tc>
          <w:tcPr>
            <w:tcW w:w="1500" w:type="pct"/>
          </w:tcPr>
          <w:p>
            <w:pPr>
              <w:keepNext/>
              <w:jc w:val="right"/>
            </w:pPr>
            <w:r>
              <w:t xml:space="preserve">Business Functions:</w:t>
            </w:r>
          </w:p>
        </w:tc>
        <w:tc>
          <w:tcPr>
            <w:tcMar>
              <w:left w:w="450" w:type="dxa"/>
            </w:tcMar>
            <w:b/>
          </w:tcPr>
          <w:p>
            <w:r>
              <w:rPr>
                <w:b/>
              </w:rPr>
              <w:t xml:space="preserve">Project Cycle;;Operations Portal;Investment Project Financing (IPF);Analytical ＆ Advisory Services (ASA)</w:t>
            </w:r>
          </w:p>
        </w:tc>
      </w:tr>
      <w:tr>
        <w:tc>
          <w:tcPr>
            <w:tcW w:w="1500" w:type="pct"/>
          </w:tcPr>
          <w:p>
            <w:pPr>
              <w:keepNext/>
              <w:jc w:val="right"/>
            </w:pPr>
            <w:r>
              <w:t xml:space="preserve">Skills:</w:t>
            </w:r>
          </w:p>
        </w:tc>
        <w:tc>
          <w:tcPr>
            <w:tcMar>
              <w:left w:w="450" w:type="dxa"/>
            </w:tcMar>
            <w:b/>
          </w:tcPr>
          <w:p>
            <w:r>
              <w:rPr>
                <w:b/>
              </w:rPr>
              <w:t xml:space="preserve">•	Minimum of a Bachelor’s degree in the relevant fields (including urban development, disaster risk management, urban planning, urban resilience, climate and environmental science, architecture, engineering, economics, social sciences).;•	4-8 years of relevant work experience, project preparation and implementation experience is a plus.;•	Experience working with government agencies, the private sector and civil society on similar issues is a plus.;•	Understanding of urban and or DRM policies strategies, institutions, and regulations.;•	In addition to appropriate qualifications and experience, the job requires intensive field work, dynamism, commitment, and ability to work with local governments and other local stakeholders to build teamwork and capacity;•	Strong communication and writing skills are a necessity.;•	Highly motivated and able to work independently and flexibly on a range of assignments, adjusting to and prioritizing a variety of complex evolving tasks;•	Excellent interpersonal skills and the ability to function effectively as a member of a multi-disciplinary and multicultural team.;•	Able to promote client/beneficiary participation and commitment to ensuring effective implementation and long-term sustainability of projects/programs.;•	Prior experience working in the Africa region, is highly desirable.;•	Prior experience in Sierra Leone is a plus.;The Consultant will support overall project management, government liaison, policy coordination and provide technical inputs. The selected consultant is expected to meet the required qualifications and experience level.</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Sierra Leone</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UDR</w:t>
            </w:r>
          </w:p>
        </w:tc>
      </w:tr>
      <w:tr>
        <w:tc>
          <w:tcPr>
            <w:tcW w:w="1500" w:type="pct"/>
          </w:tcPr>
          <w:p>
            <w:pPr>
              <w:keepNext/>
              <w:jc w:val="right"/>
            </w:pPr>
            <w:r>
              <w:t xml:space="preserve">Contact Person:</w:t>
            </w:r>
          </w:p>
        </w:tc>
        <w:tc>
          <w:tcPr>
            <w:tcMar>
              <w:left w:w="450" w:type="dxa"/>
            </w:tcMar>
            <w:b/>
          </w:tcPr>
          <w:p>
            <w:r>
              <w:rPr>
                <w:b/>
              </w:rPr>
              <w:t xml:space="preserve">Robert Reid</w:t>
            </w:r>
          </w:p>
        </w:tc>
      </w:tr>
      <w:tr>
        <w:tc>
          <w:tcPr>
            <w:tcW w:w="1500" w:type="pct"/>
          </w:tcPr>
          <w:p>
            <w:pPr>
              <w:keepNext/>
              <w:jc w:val="right"/>
            </w:pPr>
            <w:r>
              <w:t xml:space="preserve">Contact Person Email:</w:t>
            </w:r>
          </w:p>
        </w:tc>
        <w:tc>
          <w:tcPr>
            <w:tcMar>
              <w:left w:w="450" w:type="dxa"/>
            </w:tcMar>
            <w:b/>
          </w:tcPr>
          <w:p>
            <w:r>
              <w:rPr>
                <w:b/>
              </w:rPr>
              <w:t xml:space="preserve">rreid1@worldbank.org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Background  The World Bank Group’s Global
Practice for Urban, Resilience and Lands (GPURL) covers
a range of topics including #58; (i) developing green, inclusive and resilient
cities; (ii) enhancing urban and rural development through supporting and
managing the urban-rural transition, assisting local development through
developing land tenure, management and information systems; and (iii) assisting
in disaster risk management through risk assessment, risk reduction (including
flood management, urban drainage, coastal management, and retrofitting of
infrastructure), disaster preparedness (including hydromet services, early
warning systems, and civil defense), risk financing (including CAT-DDO), and
resilient reconstruction (including post-disaster damage and loss assessment).  The Africa Urban and
Disaster Risk Management Unit (SAFU1), brings together a wide range of
important and interrelated development and financing instruments, in
support of national and sub-national clients to #58; harness urbanization and
enable effective land management in support of both growth and poverty
reduction; foster social inclusion of marginalized groups; support the
responsiveness and fiscal, financial, and management capacities of local
governments – cities, municipalities, and rural districts – to deliver local
infrastructure and decentralized services; strengthen resilience and disaster
risk management related to natural disasters; reduce conflict and violence;
scale-up access to finance for sub-national governments; and reduce the carbon
footprint of cities.  Following the landslide and
flooding in Freetown on August 14, 2017 the Government of Sierra Leone (GoSL)
requested the World Bank’s financial and technical support.
A Damage and Loss Assessment (DaLA) was completed in early September 2017. In
February 2018, the World Bank approved the US$10 million Freetown Emergency
Response Project (FERP) to support the reconstruction following the landslides
and floods. The Project aims to rehabilitate selected critical infrastructure
and strengthen government capacity for managing disaster risks. The three-year
project is half way through its implementation period. Building
on the achievements of this project, the World Bank is preparing a new larger
project with the government to strengthen the resilience of Freetown and other
urban centers around the country. The project objectives will be to (i) improve urban
management in select cities, (ii) increase access to services and resilient
infrastructure in Greater Freetown, and (iii) enhance local and national
capacity for emergency preparedness and response. It is designed to support an integrated urban resilience intervention
that takes a spatial approach to address the multi-sectoral urban development
challenges of the country, including urban governance, disaster risk management,
solid waste management and infrastructure/service provision. The project structure is being
finalized with the government.  Objectives and Scope of Work   The objective of this
position is to support the coordination and oversight of the urban/DRM program
in Sierra Leone and in particular ongoing activities related to FERP and RUSL
project. The
position will provide a local presence of the task team in Freetown. The person
will be in regular contact with the project coordinators of the two projects,
under the leadership of the Task Team Leaders of the FERP and RUSL projects and
the Country Manager. He or she will also liaise with members of the country
team based in Freetown, to keep them regularly updated on progress and attend
meetings with the government as needed. The
consultant will work out of the Freetown World Bank Country Office. His or her
duties will include #58; A variety of operational and analytical tasks including lending, technical assistance and policy advisory work, e.g. technical analyses, design of technical assistance interventions, participation in project preparation and implementation support, etc. and takes the lead on specific activities as requested. Participates in task teams to prepare and supervise investment operations with focus on assuring strong performance of the portfolio, disbursements, and achievement of outcomes,Follow up with the FERP Project
Coordinator, Project Coordination Unit and Implementing Agencies on ongoing
activities, action plans and pending issues.Follow up with the RUSLP
Project Coordinator, Project Coordination Unit and Implementing Agencies on
ongoing activities, action plans and pending issues.Coordinate review of
technical documents amongst World Bank task team and relevant experts.  Support World Bank mission
planning, coordination and logistics as well as team consultantClosely monitor project
implementation and flag any issues to the project team.  Monitor related policy
developments related to urban planning, disaster risk management, etc. and
report to the task team when relevant.Contribute to the drafting
of mission reports such as Aide Memoires and Management Letters.Contribute to the drafting
of ISRs, including reporting on results indicators.  Prepare quarterly project
implementation progress reports.Report on relevant events
that take place that relate to the project including conferences, launches,
workshops, and media monitoring.Report on disaster events,
such as floods and landslides.Contributes to knowledge
sharing and dissemination and raises awareness of the Bank’s activities.Participates in sector dialogue in the country, providing just-in-time advisory assistance, supporting business development, enabling broad policy and institutional reforms.Works independently, seeking guidance on complex projects/issues from senior specialists.Other tasks as required by the Task team leaders and the Country manager.</w:t>
            </w:r>
          </w:p>
        </w:tc>
      </w:tr>
    </w:tbl>
  </w:body>
</w:document>
</file>