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c2f28cee22a4e39" /></Relationships>
</file>

<file path=word/document.xml><?xml version="1.0" encoding="utf-8"?>
<w:document xmlns:w="http://schemas.openxmlformats.org/wordprocessingml/2006/main">
  <w:body>
    <w:p>
      <w:r>
        <w:rPr>
          <w:sz w:val="30"/>
          <w:b/>
        </w:rPr>
        <w:t xml:space="preserve">Knowledge Management STC for PROBLUE, (ENB GP)</w:t>
      </w:r>
      <w:r>
        <w:t xml:space="preserve"> - </w:t>
      </w:r>
      <w:r>
        <w:rPr>
          <w:color w:val="008000"/>
          <w:sz w:val="22"/>
          <w:b/>
        </w:rPr>
        <w:t xml:space="preserve">Open</w:t>
      </w:r>
      <w:r>
        <w:br/>
      </w:r>
      <w:r>
        <w:t xml:space="preserve">Posted on: Aug 30, 2019</w:t>
      </w:r>
      <w:r>
        <w:t xml:space="preserve"> | </w:t>
      </w:r>
      <w:r>
        <w:rPr>
          <w:b/>
        </w:rPr>
        <w:t xml:space="preserve">93</w:t>
      </w:r>
      <w:r>
        <w:t xml:space="preserve"> View(s)</w:t>
      </w:r>
    </w:p>
    <w:tbl>
      <w:tblPr>
        <w:tblW w:w="5000" w:type="pct"/>
        <w:tblStyle w:val=""/>
        <w:tblCellSpacing w:w="4" w:type="dxa"/>
        <w:tblInd w:w="8" w:type="dxa"/>
      </w:tblPr>
      <w:tblGrid>
        <w:gridCol/>
        <w:gridCol/>
        <w:gridCol/>
        <w:gridCol/>
      </w:tblGrid>
      <w:tr>
        <w:tc>
          <w:tcPr>
            <w:tcW w:w="1500" w:type="pct"/>
          </w:tcPr>
          <w:p>
            <w:pPr>
              <w:keepNext/>
              <w:jc w:val="right"/>
            </w:pPr>
            <w:r>
              <w:t xml:space="preserve">Start Date:</w:t>
            </w:r>
          </w:p>
        </w:tc>
        <w:tc>
          <w:tcPr>
            <w:tcMar>
              <w:left w:w="450" w:type="dxa"/>
            </w:tcMar>
            <w:b/>
          </w:tcPr>
          <w:p/>
        </w:tc>
        <w:tc>
          <w:tcPr>
            <w:tcMar>
              <w:left w:w="750" w:type="dxa"/>
            </w:tcMar>
          </w:tcPr>
          <w:p>
            <w:r>
              <w:t xml:space="preserve">Time Commitment:</w:t>
            </w:r>
          </w:p>
        </w:tc>
        <w:tc>
          <w:tcPr>
            <w:tcMar>
              <w:left w:w="450" w:type="dxa"/>
            </w:tcMar>
            <w:b/>
          </w:tcPr>
          <w:p>
            <w:r>
              <w:rPr>
                <w:b/>
              </w:rPr>
              <w:t xml:space="preserve">150 Day(s)</w:t>
            </w:r>
          </w:p>
        </w:tc>
      </w:tr>
      <w:tr>
        <w:tc>
          <w:tcPr>
            <w:tcW w:w="1500" w:type="pct"/>
          </w:tcPr>
          <w:p>
            <w:pPr>
              <w:keepNext/>
              <w:jc w:val="right"/>
            </w:pPr>
            <w:r>
              <w:t xml:space="preserve">Express Interest by:</w:t>
            </w:r>
          </w:p>
        </w:tc>
        <w:tc>
          <w:tcPr>
            <w:tcMar>
              <w:left w:w="450" w:type="dxa"/>
            </w:tcMar>
            <w:b/>
          </w:tcPr>
          <w:p>
            <w:r>
              <w:rPr>
                <w:b/>
              </w:rPr>
              <w:t xml:space="preserve">Sep 12, 2019</w:t>
            </w:r>
          </w:p>
        </w:tc>
      </w:tr>
    </w:tbl>
    <w:p/>
    <w:tbl>
      <w:tblPr>
        <w:tblW w:w="5000" w:type="pct"/>
        <w:tblStyle w:val=""/>
        <w:tblCellSpacing w:w="4" w:type="dxa"/>
        <w:tblInd w:w="8" w:type="dxa"/>
      </w:tblPr>
      <w:tblGrid>
        <w:gridCol/>
        <w:gridCol/>
      </w:tblGrid>
      <w:tr>
        <w:tc>
          <w:tcPr>
            <w:tcW w:w="1500" w:type="pct"/>
          </w:tcPr>
          <w:p>
            <w:pPr>
              <w:keepNext/>
              <w:jc w:val="right"/>
            </w:pPr>
            <w:r>
              <w:t xml:space="preserve">Topics:</w:t>
            </w:r>
          </w:p>
        </w:tc>
        <w:tc>
          <w:tcPr>
            <w:tcMar>
              <w:left w:w="450" w:type="dxa"/>
            </w:tcMar>
            <w:b/>
          </w:tcPr>
          <w:p>
            <w:r>
              <w:rPr>
                <w:b/>
              </w:rPr>
              <w:t xml:space="preserve">Topics not specified</w:t>
            </w:r>
          </w:p>
        </w:tc>
      </w:tr>
      <w:tr>
        <w:tc>
          <w:tcPr>
            <w:tcW w:w="1500" w:type="pct"/>
          </w:tcPr>
          <w:p>
            <w:pPr>
              <w:keepNext/>
              <w:jc w:val="right"/>
            </w:pPr>
            <w:r>
              <w:t xml:space="preserve">Business Functions:</w:t>
            </w:r>
          </w:p>
        </w:tc>
        <w:tc>
          <w:tcPr>
            <w:tcMar>
              <w:left w:w="450" w:type="dxa"/>
            </w:tcMar>
            <w:b/>
          </w:tcPr>
          <w:p>
            <w:r>
              <w:rPr>
                <w:b/>
              </w:rPr>
              <w:t xml:space="preserve">Knowledge Management;Training;Knowledge Management and Dissemination;Professional Writing and Editing;Intranet Tools</w:t>
            </w:r>
          </w:p>
        </w:tc>
      </w:tr>
      <w:tr>
        <w:tc>
          <w:tcPr>
            <w:tcW w:w="1500" w:type="pct"/>
          </w:tcPr>
          <w:p>
            <w:pPr>
              <w:keepNext/>
              <w:jc w:val="right"/>
            </w:pPr>
            <w:r>
              <w:t xml:space="preserve">Skills:</w:t>
            </w:r>
          </w:p>
        </w:tc>
        <w:tc>
          <w:tcPr>
            <w:tcMar>
              <w:left w:w="450" w:type="dxa"/>
            </w:tcMar>
            <w:b/>
          </w:tcPr>
          <w:p>
            <w:r>
              <w:rPr>
                <w:b/>
              </w:rPr>
              <w:t xml:space="preserve">knowledge management</w:t>
            </w:r>
          </w:p>
        </w:tc>
      </w:tr>
      <w:tr>
        <w:tc>
          <w:tcPr>
            <w:tcW w:w="1500" w:type="pct"/>
          </w:tcPr>
          <w:p>
            <w:pPr>
              <w:keepNext/>
              <w:jc w:val="right"/>
            </w:pPr>
            <w:r>
              <w:t xml:space="preserve">Language Skills:</w:t>
            </w:r>
          </w:p>
        </w:tc>
        <w:tc>
          <w:tcPr>
            <w:tcMar>
              <w:left w:w="450" w:type="dxa"/>
            </w:tcMar>
            <w:b/>
          </w:tcPr>
          <w:p>
            <w:r>
              <w:rPr>
                <w:b/>
              </w:rPr>
              <w:t xml:space="preserve">English</w:t>
            </w:r>
          </w:p>
        </w:tc>
      </w:tr>
    </w:tbl>
    <w:p/>
    <w:tbl>
      <w:tblPr>
        <w:tblW w:w="5000" w:type="pct"/>
        <w:tblStyle w:val=""/>
        <w:tblCellSpacing w:w="4" w:type="dxa"/>
        <w:tblInd w:w="8" w:type="dxa"/>
      </w:tblPr>
      <w:tblGrid>
        <w:gridCol/>
        <w:gridCol/>
      </w:tblGrid>
      <w:tr>
        <w:tc>
          <w:tcPr>
            <w:tcW w:w="1500" w:type="pct"/>
          </w:tcPr>
          <w:p>
            <w:pPr>
              <w:keepNext/>
              <w:jc w:val="right"/>
            </w:pPr>
            <w:r>
              <w:t xml:space="preserve">Assignment Location:</w:t>
            </w:r>
          </w:p>
        </w:tc>
        <w:tc>
          <w:tcPr>
            <w:tcMar>
              <w:left w:w="450" w:type="dxa"/>
            </w:tcMar>
            <w:b/>
          </w:tcPr>
          <w:p>
            <w:r>
              <w:rPr>
                <w:b/>
              </w:rPr>
              <w:t xml:space="preserve">United States, HQ</w:t>
            </w:r>
          </w:p>
        </w:tc>
      </w:tr>
      <w:tr>
        <w:tc>
          <w:tcPr>
            <w:tcW w:w="1500" w:type="pct"/>
          </w:tcPr>
          <w:p>
            <w:pPr>
              <w:keepNext/>
              <w:jc w:val="right"/>
            </w:pPr>
            <w:r>
              <w:t xml:space="preserve">Institution:</w:t>
            </w:r>
          </w:p>
        </w:tc>
        <w:tc>
          <w:tcPr>
            <w:tcMar>
              <w:left w:w="450" w:type="dxa"/>
            </w:tcMar>
            <w:b/>
          </w:tcPr>
          <w:p>
            <w:r>
              <w:rPr>
                <w:b/>
              </w:rPr>
              <w:t xml:space="preserve">IBRD</w:t>
            </w:r>
          </w:p>
        </w:tc>
      </w:tr>
      <w:tr>
        <w:tc>
          <w:tcPr>
            <w:tcW w:w="1500" w:type="pct"/>
          </w:tcPr>
          <w:p>
            <w:pPr>
              <w:keepNext/>
              <w:jc w:val="right"/>
            </w:pPr>
            <w:r>
              <w:t xml:space="preserve">VPU:</w:t>
            </w:r>
          </w:p>
        </w:tc>
        <w:tc>
          <w:tcPr>
            <w:tcMar>
              <w:left w:w="450" w:type="dxa"/>
            </w:tcMar>
            <w:b/>
          </w:tcPr>
          <w:p>
            <w:r>
              <w:rPr>
                <w:b/>
              </w:rPr>
              <w:t xml:space="preserve">GEN</w:t>
            </w:r>
          </w:p>
        </w:tc>
      </w:tr>
      <w:tr>
        <w:tc>
          <w:tcPr>
            <w:tcW w:w="1500" w:type="pct"/>
          </w:tcPr>
          <w:p>
            <w:pPr>
              <w:keepNext/>
              <w:jc w:val="right"/>
            </w:pPr>
            <w:r>
              <w:t xml:space="preserve">Contact Person:</w:t>
            </w:r>
          </w:p>
        </w:tc>
        <w:tc>
          <w:tcPr>
            <w:tcMar>
              <w:left w:w="450" w:type="dxa"/>
            </w:tcMar>
            <w:b/>
          </w:tcPr>
          <w:p>
            <w:r>
              <w:rPr>
                <w:b/>
              </w:rPr>
              <w:t xml:space="preserve">Morgan Graham</w:t>
            </w:r>
          </w:p>
        </w:tc>
      </w:tr>
      <w:tr>
        <w:tc>
          <w:tcPr>
            <w:tcW w:w="1500" w:type="pct"/>
          </w:tcPr>
          <w:p>
            <w:pPr>
              <w:keepNext/>
              <w:jc w:val="right"/>
            </w:pPr>
            <w:r>
              <w:t xml:space="preserve">Contact Person Email:</w:t>
            </w:r>
          </w:p>
        </w:tc>
        <w:tc>
          <w:tcPr>
            <w:tcMar>
              <w:left w:w="450" w:type="dxa"/>
            </w:tcMar>
            <w:b/>
          </w:tcPr>
          <w:p>
            <w:r>
              <w:rPr>
                <w:b/>
              </w:rPr>
              <w:t xml:space="preserve">mgraham2@worldbankgroup.org</w:t>
            </w:r>
          </w:p>
        </w:tc>
      </w:tr>
    </w:tbl>
    <w:p/>
    <w:tbl>
      <w:tblPr>
        <w:tblW w:w="5000" w:type="pct"/>
        <w:tblStyle w:val=""/>
        <w:tblCellSpacing w:w="4" w:type="dxa"/>
        <w:tblInd w:w="8" w:type="dxa"/>
      </w:tblPr>
      <w:tblGrid>
        <w:gridCol/>
        <w:gridCol/>
      </w:tblGrid>
      <w:tr>
        <w:tc>
          <w:tcPr>
            <w:tcW w:w="1500" w:type="pct"/>
          </w:tcPr>
          <w:p>
            <w:pPr>
              <w:keepNext/>
              <w:jc w:val="right"/>
            </w:pPr>
            <w:r>
              <w:t xml:space="preserve">Task Description:</w:t>
            </w:r>
          </w:p>
        </w:tc>
        <w:tc>
          <w:tcPr>
            <w:tcMar>
              <w:left w:w="450" w:type="dxa"/>
            </w:tcMar>
            <w:b/>
          </w:tcPr>
          <w:p>
            <w:r>
              <w:rPr>
                <w:b/>
              </w:rPr>
              <w:t xml:space="preserve">Hiring Manager #58; Charlotte
De Fontaubert  STC, Knowledge
Management, PROBLUE, ENBGP  Organization #58; World Bank Sector #58; Knowledge Management Recruitment Type #58; Local Recruitment Department/Division #58; ENVIRONMENT GP GLOBAL (GENGE) Grade #58; N/A Term Duration #58; Up to 150 Days Hire Type #58; Non-Managerial Location #58; Washington, DC Required Language(s) #58; English     Please submit your application to Morgan Graham at mgraham2@worldbankgroup.org by 5pm ET Thursday, September 12, 2019.   Description Established in 1944, the WBG is one of the world’s largest sources of funding and knowledge for development solutions. In fiscal year 2018, the WBG committed $67 billion in loans, grants, equity investments and guarantees to its members and private businesses, of which $24 billion was concessional finance to its poorest members. It is governed by 188-member countries and delivers services out of 120 offices with nearly 15,000 staff located globally.   The WBG consists of five specialized institutions #58; the International Bank for Reconstruction and Development (IBRD), the International Development Association (IDA), the International Finance Corporation (IFC), the Multilateral Investment Guarantee Agency (MIGA), and the International Centre for the Settlement of Investment Disputes (ICSID). The World Bank is organized into six client-facing Regional Vice-Presidencies, several corporate functions and thirteen Global Practices to bring best-in-class knowledge and solutions to regional and country clients. Biodiversity and natural resources constitute the social safety net of the poor, representing a food bank and often their only source of livelihood. Sustainable ENBM promotes a green clean, and resilient world where natural resources – from forests to fisheries, freshwater, oceans, coastal zones and ecosystems – are managed to support livelihoods and strong economies. The Environment and Natural Blue Economy (ENB) Global Practice (GP) has been set up to deliver on the opportunities, benefits and outcomes offered by enhanced management of the environment and natural resources. The ENB GP has close to 300 operations, representing $7 billion, and a growing pipeline of new investments and Advisory Services and Analytics (ASAs) under active development. ENB has the following business lines #58; Green #58; Forests, Watersheds  amp; Sustainable Landscapes - managing renewable natural capital across landscapes; Blue #58; Marine, Coastal  amp; Aquatic Resources - unlocking the wealth of marine, coastal and fresh water economies; Brown #58; Pollution Management  amp; Environmental Health - reducing pollution to improve environmental conditions; Clean and Resilient Growth #58; Fostering economics and institutions for sustainable and sustained growth; and Environmental Risk Management and Sustainability #58; Managing risks and creating opportunity to advise sustainable development in accordance with the Bank’s Operational Policies and, since October 1, 2018, the Environmental and Social Framework (ESF).    PROBLUE PROBLUE is a new, multi-donor trust fund, housed in ENB that supports healthy and productive oceans. PROBLUE supports implementation of Sustainable Development Goal 14 (SDG 14) and is fully aligned with the World Bank’s twin goals of ending extreme poverty and increasing the income and welfare of the poor in a sustainable way. PROBLUE is part of the World Bank’s overall Blue Economy program, which takes a multi-pronged, coordinated approach to ensuring the protection and sustainable use of marine and coastal resources.  PROBLUE focuses on four key themes #58; • the sustainable management of fisheries and aquaculture • the threats posed to ocean health by marine pollution, including litter and plastics • the sustainable development of key oceanic sectors such as tourism, maritime transport and off-shore renewable energy • building the capacity of governments to manage their marine and coastal resources in an integrated fashion to deliver more and sustainable benefits to countries and communities. Learn more about PROBLUE here #58; www.worldbank.org/problue ENB is seeking a Knowledge Management Analyst for PROBLUE.   As an independent contributor, the Knowledge Management Analyst works to build a cohesive knowledge management program at the Bank to bring value to operational staff and positively impact the broader knowledge agenda. The KM Analyst plans, develops, and implements effective internal knowledge-sharing products, such as staff training, e-learning courses, internal newsletters, results stories, and internal learning events.    Duties and Accountabilities #58; The Knowledge Management Analyst will have the following duties and accountabilities #58; • Manage the creation of a Blue Economy Academy under the guidance of the PROBLUE Manager and trainings for specific activities from each of the pillars. • Create internal news products to keep staff current on PROBLUE’s progress. This includes an internal newsletter reporting on PROBLUE’s four business lines as well as a note to the Global Director of ENB • Create content for communications, online, and/or knowledge products, writing and editing high quality communications materials, including an internal newsletter for staff on PROBLUE, in close collaboration with the Communications Officer.    • Assist in the management of the PROBLUE Intranet page, assuring content is up-to-date and facilitate knowledge-sharing amongst staff • Plan, design, and run internal events that facilitate knowledge-sharing amongst staff, including brown bag lunches (BBLs), in coordination with the Communications Officer.    • Document, store, and organize results stories, briefs, case studies, and guidance notes from PROBLUE projects. Draft internal blogs, when relevant, in close coordination with the Communications Officer.    • Keep track of and manage internal contacts for PROBLUE      • Create a knowledge management framework that completements the communications plan. Highlight any other initiatives that support better management of the PROBLUE team’s knowledge, providing staff with faster and more effective access to relevant knowledge, enabling all to work more efficiently, effectively, and with agility. Selection Criteria • A Master’s degree in Knowledge Management, Communications, International Relations/Public Affairs, Journalism, Marketing, Political Science or other relevant field, with a minimum of one year of relevant experience in knowledge management or communications work; or a Bachelor’s degree with a minimum of three years of relevant experience.   • Knowledge and understanding of Blue Economy/Sustainable Oceans. • Proven ability to plan and implement effective internal and online communications. Strong ability to prepare, package, and adapt material into appropriate and effective content. • Proven planning and organizational skills, strong conceptual and research/analytical skills, ability to think strategically and rapidly analyze and integrate diverse information from varied sources into conclusions and recommendations. • Excellent oral and written communication and presentation skills.   Spoken and written fluency required in English. • Ability to work to tight deadlines, juggle multiple tasks, and work effectively under stress. • Strong interpersonal skills and ability to work effectively with internal and external partners in a multicultural environment.   (See the  attached TOR for further  details)        The World Bank Group values diversity and encourages all qualified candidates who are nationals of World Bank Group member countries to apply, regardless of gender, gender identity, religion, race, ethnicity, sexual orientation, or disability.   Sub-Saharan African nationals, Caribbean nationals, and female candidates are strongly encouraged to apply.</w:t>
            </w:r>
          </w:p>
        </w:tc>
      </w:tr>
    </w:tbl>
  </w:body>
</w:document>
</file>